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1A" w:rsidRDefault="000E6035" w:rsidP="000E6035">
      <w:pPr>
        <w:ind w:left="-851"/>
        <w:rPr>
          <w:lang w:val="uk-UA"/>
        </w:rPr>
      </w:pPr>
      <w:r w:rsidRPr="000E6035">
        <w:rPr>
          <w:noProof/>
          <w:lang w:eastAsia="ru-RU"/>
        </w:rPr>
        <w:drawing>
          <wp:inline distT="0" distB="0" distL="0" distR="0">
            <wp:extent cx="6696075" cy="4467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6035" w:rsidRDefault="000E6035" w:rsidP="000E6035">
      <w:pPr>
        <w:ind w:left="-851"/>
        <w:rPr>
          <w:lang w:val="uk-UA"/>
        </w:rPr>
      </w:pPr>
      <w:r w:rsidRPr="000E6035">
        <w:rPr>
          <w:noProof/>
          <w:lang w:eastAsia="ru-RU"/>
        </w:rPr>
        <w:drawing>
          <wp:inline distT="0" distB="0" distL="0" distR="0">
            <wp:extent cx="6511925" cy="4356100"/>
            <wp:effectExtent l="19050" t="0" r="2222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6035" w:rsidRDefault="000E6035" w:rsidP="000E6035">
      <w:pPr>
        <w:ind w:left="-851"/>
        <w:rPr>
          <w:lang w:val="uk-UA"/>
        </w:rPr>
      </w:pPr>
      <w:r w:rsidRPr="000E6035">
        <w:rPr>
          <w:noProof/>
          <w:lang w:eastAsia="ru-RU"/>
        </w:rPr>
        <w:lastRenderedPageBreak/>
        <w:drawing>
          <wp:inline distT="0" distB="0" distL="0" distR="0">
            <wp:extent cx="6432550" cy="4305300"/>
            <wp:effectExtent l="19050" t="0" r="254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6035" w:rsidRDefault="000E6035" w:rsidP="000E6035">
      <w:pPr>
        <w:ind w:left="-851"/>
        <w:rPr>
          <w:lang w:val="uk-UA"/>
        </w:rPr>
      </w:pPr>
      <w:r w:rsidRPr="000E6035">
        <w:rPr>
          <w:noProof/>
          <w:lang w:eastAsia="ru-RU"/>
        </w:rPr>
        <w:drawing>
          <wp:inline distT="0" distB="0" distL="0" distR="0">
            <wp:extent cx="6584950" cy="4318000"/>
            <wp:effectExtent l="19050" t="0" r="254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035" w:rsidRDefault="000E6035" w:rsidP="000E6035">
      <w:pPr>
        <w:ind w:left="-851"/>
        <w:rPr>
          <w:lang w:val="uk-UA"/>
        </w:rPr>
      </w:pPr>
      <w:r w:rsidRPr="000E6035">
        <w:rPr>
          <w:noProof/>
          <w:lang w:eastAsia="ru-RU"/>
        </w:rPr>
        <w:lastRenderedPageBreak/>
        <w:drawing>
          <wp:inline distT="0" distB="0" distL="0" distR="0">
            <wp:extent cx="6511925" cy="4089400"/>
            <wp:effectExtent l="19050" t="0" r="2222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6035" w:rsidRDefault="000E6035" w:rsidP="000E6035">
      <w:pPr>
        <w:ind w:left="-851"/>
        <w:rPr>
          <w:lang w:val="uk-UA"/>
        </w:rPr>
      </w:pPr>
    </w:p>
    <w:p w:rsidR="000E6035" w:rsidRDefault="000E6035" w:rsidP="000E6035">
      <w:pPr>
        <w:ind w:left="-851"/>
        <w:rPr>
          <w:lang w:val="uk-UA"/>
        </w:rPr>
      </w:pPr>
      <w:r w:rsidRPr="000E6035">
        <w:rPr>
          <w:noProof/>
          <w:lang w:eastAsia="ru-RU"/>
        </w:rPr>
        <w:drawing>
          <wp:inline distT="0" distB="0" distL="0" distR="0">
            <wp:extent cx="6511925" cy="4610100"/>
            <wp:effectExtent l="19050" t="0" r="222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6035" w:rsidRDefault="000E6035" w:rsidP="000E6035">
      <w:pPr>
        <w:ind w:left="-851"/>
        <w:rPr>
          <w:lang w:val="uk-UA"/>
        </w:rPr>
      </w:pPr>
      <w:r w:rsidRPr="000E6035">
        <w:rPr>
          <w:noProof/>
          <w:lang w:eastAsia="ru-RU"/>
        </w:rPr>
        <w:lastRenderedPageBreak/>
        <w:drawing>
          <wp:inline distT="0" distB="0" distL="0" distR="0">
            <wp:extent cx="6584950" cy="4318000"/>
            <wp:effectExtent l="19050" t="0" r="2540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6035" w:rsidRDefault="009B2B99" w:rsidP="000E6035">
      <w:pPr>
        <w:ind w:left="-851"/>
        <w:rPr>
          <w:lang w:val="uk-UA"/>
        </w:rPr>
      </w:pPr>
      <w:r w:rsidRPr="009B2B99">
        <w:rPr>
          <w:noProof/>
          <w:lang w:eastAsia="ru-RU"/>
        </w:rPr>
        <w:drawing>
          <wp:inline distT="0" distB="0" distL="0" distR="0">
            <wp:extent cx="6464300" cy="4737100"/>
            <wp:effectExtent l="19050" t="0" r="1270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2B99" w:rsidRDefault="00F0491B" w:rsidP="000E6035">
      <w:pPr>
        <w:ind w:left="-851"/>
        <w:rPr>
          <w:lang w:val="uk-UA"/>
        </w:rPr>
      </w:pPr>
      <w:r w:rsidRPr="00F0491B">
        <w:rPr>
          <w:noProof/>
          <w:lang w:eastAsia="ru-RU"/>
        </w:rPr>
        <w:lastRenderedPageBreak/>
        <w:drawing>
          <wp:inline distT="0" distB="0" distL="0" distR="0">
            <wp:extent cx="6511925" cy="4305300"/>
            <wp:effectExtent l="19050" t="0" r="222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p w:rsidR="007538D8" w:rsidRDefault="007538D8" w:rsidP="007538D8">
      <w:pPr>
        <w:ind w:left="-1276" w:right="-143"/>
        <w:rPr>
          <w:lang w:val="uk-UA"/>
        </w:rPr>
      </w:pPr>
      <w:r w:rsidRPr="001372A4">
        <w:rPr>
          <w:noProof/>
          <w:lang w:eastAsia="ru-RU"/>
        </w:rPr>
        <w:lastRenderedPageBreak/>
        <w:drawing>
          <wp:inline distT="0" distB="0" distL="0" distR="0">
            <wp:extent cx="6927850" cy="6197600"/>
            <wp:effectExtent l="19050" t="0" r="2540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38D8" w:rsidRDefault="007538D8" w:rsidP="007538D8">
      <w:pPr>
        <w:ind w:left="-1276" w:right="-143"/>
        <w:rPr>
          <w:lang w:val="uk-UA"/>
        </w:rPr>
      </w:pPr>
    </w:p>
    <w:p w:rsidR="007538D8" w:rsidRDefault="007538D8" w:rsidP="007538D8">
      <w:pPr>
        <w:ind w:left="-1276" w:right="-143"/>
        <w:rPr>
          <w:lang w:val="uk-UA"/>
        </w:rPr>
      </w:pPr>
      <w:r w:rsidRPr="001372A4">
        <w:rPr>
          <w:noProof/>
          <w:lang w:eastAsia="ru-RU"/>
        </w:rPr>
        <w:lastRenderedPageBreak/>
        <w:drawing>
          <wp:inline distT="0" distB="0" distL="0" distR="0">
            <wp:extent cx="6800850" cy="49403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7538D8">
      <w:pPr>
        <w:ind w:left="-1276" w:right="-143"/>
        <w:rPr>
          <w:lang w:val="uk-UA"/>
        </w:rPr>
      </w:pPr>
    </w:p>
    <w:p w:rsidR="00802304" w:rsidRDefault="00802304" w:rsidP="00802304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</w:t>
      </w:r>
      <w:r>
        <w:rPr>
          <w:noProof/>
        </w:rPr>
        <w:drawing>
          <wp:inline distT="0" distB="0" distL="0" distR="0">
            <wp:extent cx="5826125" cy="4745355"/>
            <wp:effectExtent l="19050" t="0" r="22225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2304" w:rsidRPr="001372A4" w:rsidRDefault="00802304" w:rsidP="007538D8">
      <w:pPr>
        <w:ind w:left="-1276" w:right="-143"/>
        <w:rPr>
          <w:lang w:val="uk-UA"/>
        </w:rPr>
      </w:pPr>
    </w:p>
    <w:p w:rsidR="007538D8" w:rsidRDefault="007538D8" w:rsidP="000E6035">
      <w:pPr>
        <w:ind w:left="-851"/>
        <w:rPr>
          <w:lang w:val="uk-UA"/>
        </w:rPr>
      </w:pPr>
    </w:p>
    <w:sectPr w:rsidR="007538D8" w:rsidSect="000E60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E6035"/>
    <w:rsid w:val="000C1C33"/>
    <w:rsid w:val="000E6035"/>
    <w:rsid w:val="001F377D"/>
    <w:rsid w:val="00497694"/>
    <w:rsid w:val="005408F2"/>
    <w:rsid w:val="006F4CBC"/>
    <w:rsid w:val="007538D8"/>
    <w:rsid w:val="00802304"/>
    <w:rsid w:val="00841D79"/>
    <w:rsid w:val="009B2B99"/>
    <w:rsid w:val="00BD5821"/>
    <w:rsid w:val="00BE27AC"/>
    <w:rsid w:val="00C9601A"/>
    <w:rsid w:val="00E25730"/>
    <w:rsid w:val="00E42A5F"/>
    <w:rsid w:val="00E51948"/>
    <w:rsid w:val="00E73345"/>
    <w:rsid w:val="00F0491B"/>
    <w:rsid w:val="00F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35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80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802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Видатки загального фонду за 2018 рік, тис. грн.</a:t>
            </a:r>
          </a:p>
        </c:rich>
      </c:tx>
      <c:layout>
        <c:manualLayout>
          <c:xMode val="edge"/>
          <c:yMode val="edge"/>
          <c:x val="0.17285544721336221"/>
          <c:y val="1.5325666799247786E-2"/>
        </c:manualLayout>
      </c:layout>
    </c:title>
    <c:view3D>
      <c:rotX val="50"/>
      <c:rotY val="310"/>
      <c:perspective val="10"/>
    </c:view3D>
    <c:plotArea>
      <c:layout>
        <c:manualLayout>
          <c:layoutTarget val="inner"/>
          <c:xMode val="edge"/>
          <c:yMode val="edge"/>
          <c:x val="8.5345172974873845E-2"/>
          <c:y val="0.24039744401666743"/>
          <c:w val="0.76492751490175881"/>
          <c:h val="0.66932013893984232"/>
        </c:manualLayout>
      </c:layout>
      <c:pie3DChart>
        <c:varyColors val="1"/>
        <c:ser>
          <c:idx val="0"/>
          <c:order val="0"/>
          <c:explosion val="5"/>
          <c:dPt>
            <c:idx val="0"/>
            <c:explosion val="12"/>
          </c:dPt>
          <c:dPt>
            <c:idx val="3"/>
            <c:explosion val="13"/>
          </c:dPt>
          <c:dPt>
            <c:idx val="4"/>
            <c:explosion val="12"/>
          </c:dPt>
          <c:dPt>
            <c:idx val="5"/>
            <c:explosion val="12"/>
          </c:dPt>
          <c:dPt>
            <c:idx val="6"/>
            <c:explosion val="14"/>
          </c:dPt>
          <c:dPt>
            <c:idx val="7"/>
            <c:explosion val="15"/>
          </c:dPt>
          <c:dLbls>
            <c:dLbl>
              <c:idx val="0"/>
              <c:layout>
                <c:manualLayout>
                  <c:x val="0.14604499799654841"/>
                  <c:y val="-5.51726418263756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 місцевого самоврядування;            40 897,8; 6%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7.62224586011556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Освіта; 185 593,3; 27%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2.5853299975279749E-2"/>
                  <c:y val="-3.06513335984956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Охорона здоров'я;        95 200,6; 14%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-6.2655189054092633E-2"/>
                  <c:y val="-1.5325908148331251E-2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-3.8602927279053026E-2"/>
                  <c:y val="0.17164746815157494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-5.6375805035974356E-2"/>
                  <c:y val="8.8888867435637356E-2"/>
                </c:manualLayout>
              </c:layout>
              <c:tx>
                <c:rich>
                  <a:bodyPr rot="0" anchor="ctr" anchorCtr="1"/>
                  <a:lstStyle/>
                  <a:p>
                    <a:pPr>
                      <a:defRPr/>
                    </a:pPr>
                    <a:r>
                      <a:rPr lang="ru-RU"/>
                      <a:t>Фізкультура і спорт; </a:t>
                    </a:r>
                  </a:p>
                  <a:p>
                    <a:pPr>
                      <a:defRPr/>
                    </a:pPr>
                    <a:r>
                      <a:rPr lang="ru-RU"/>
                      <a:t>72 89,8; 1%</a:t>
                    </a:r>
                  </a:p>
                </c:rich>
              </c:tx>
              <c:spPr>
                <a:ln w="6350">
                  <a:solidFill>
                    <a:schemeClr val="accent1"/>
                  </a:solidFill>
                  <a:prstDash val="sysDash"/>
                </a:ln>
                <a:scene3d>
                  <a:camera prst="orthographicFront"/>
                  <a:lightRig rig="threePt" dir="t"/>
                </a:scene3d>
                <a:sp3d>
                  <a:bevelT prst="angle"/>
                </a:sp3d>
              </c:spPr>
              <c:dLblPos val="bestFit"/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-2.783435640842816E-2"/>
                  <c:y val="3.0651333598495697E-3"/>
                </c:manualLayout>
              </c:layout>
              <c:dLblPos val="bestFit"/>
              <c:showLegendKey val="1"/>
              <c:showVal val="1"/>
              <c:showCatName val="1"/>
              <c:showPercent val="1"/>
            </c:dLbl>
            <c:dLbl>
              <c:idx val="7"/>
              <c:layout>
                <c:manualLayout>
                  <c:x val="-1.1964365519176484E-2"/>
                  <c:y val="-0.110344800954583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видатки; 4 609,5; 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spPr>
              <a:ln w="6350">
                <a:solidFill>
                  <a:schemeClr val="accent1"/>
                </a:solidFill>
                <a:prstDash val="sysDash"/>
              </a:ln>
            </c:spPr>
            <c:txPr>
              <a:bodyPr rot="0" anchor="ctr" anchorCtr="1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Percent val="1"/>
            <c:showLeaderLines val="1"/>
          </c:dLbls>
          <c:cat>
            <c:strRef>
              <c:f>Лист9!$E$4:$L$4</c:f>
              <c:strCache>
                <c:ptCount val="8"/>
                <c:pt idx="0">
                  <c:v>Органи місцевого самоврядування</c:v>
                </c:pt>
                <c:pt idx="1">
                  <c:v> Овіта</c:v>
                </c:pt>
                <c:pt idx="2">
                  <c:v>Охорона здоров'я</c:v>
                </c:pt>
                <c:pt idx="3">
                  <c:v>Соц. захист</c:v>
                </c:pt>
                <c:pt idx="4">
                  <c:v>Культура</c:v>
                </c:pt>
                <c:pt idx="5">
                  <c:v>Фізкультура і спорт</c:v>
                </c:pt>
                <c:pt idx="6">
                  <c:v>Організація благоустрою</c:v>
                </c:pt>
                <c:pt idx="7">
                  <c:v>Інші видатки</c:v>
                </c:pt>
              </c:strCache>
            </c:strRef>
          </c:cat>
          <c:val>
            <c:numRef>
              <c:f>Лист9!$E$5:$L$5</c:f>
              <c:numCache>
                <c:formatCode>#,##0.0</c:formatCode>
                <c:ptCount val="8"/>
                <c:pt idx="0">
                  <c:v>40897.800000000003</c:v>
                </c:pt>
                <c:pt idx="1">
                  <c:v>185593.3</c:v>
                </c:pt>
                <c:pt idx="2">
                  <c:v>95200.6</c:v>
                </c:pt>
                <c:pt idx="3">
                  <c:v>311575.2</c:v>
                </c:pt>
                <c:pt idx="4">
                  <c:v>8241.4</c:v>
                </c:pt>
                <c:pt idx="5">
                  <c:v>7289.8</c:v>
                </c:pt>
                <c:pt idx="6">
                  <c:v>21105.1</c:v>
                </c:pt>
                <c:pt idx="7">
                  <c:v>14609.5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видатків міського бюджету м. Ніжина по спеціальному фонду за 2018 рік, тис. грн.</a:t>
            </a:r>
          </a:p>
        </c:rich>
      </c:tx>
      <c:layout>
        <c:manualLayout>
          <c:xMode val="edge"/>
          <c:yMode val="edge"/>
          <c:x val="0.12360200215734511"/>
          <c:y val="1.9444440191504781E-2"/>
        </c:manualLayout>
      </c:layout>
    </c:title>
    <c:plotArea>
      <c:layout>
        <c:manualLayout>
          <c:layoutTarget val="inner"/>
          <c:xMode val="edge"/>
          <c:yMode val="edge"/>
          <c:x val="0.25141610911352846"/>
          <c:y val="0.21552201333243018"/>
          <c:w val="0.47019298165764262"/>
          <c:h val="0.69822633047743554"/>
        </c:manualLayout>
      </c:layout>
      <c:pie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0137651288886705E-2"/>
                  <c:y val="3.09623729303646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 місцевого самоврядування; </a:t>
                    </a:r>
                    <a:r>
                      <a:rPr lang="ru-RU" b="1"/>
                      <a:t>426,0; 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-2.2893814573756608E-3"/>
                  <c:y val="-7.887137382515889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Овіта; </a:t>
                    </a:r>
                  </a:p>
                  <a:p>
                    <a:r>
                      <a:rPr lang="ru-RU" b="1"/>
                      <a:t>11 306,3; 21%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-0.17341512879176124"/>
                  <c:y val="-4.4517716535433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Охорона здоров'я;</a:t>
                    </a:r>
                  </a:p>
                  <a:p>
                    <a:r>
                      <a:rPr lang="ru-RU" b="1"/>
                      <a:t> 9 275,2; 17%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-8.3033685738891066E-3"/>
                  <c:y val="-0.192123536280941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Культура;</a:t>
                    </a:r>
                  </a:p>
                  <a:p>
                    <a:r>
                      <a:rPr lang="ru-RU" b="1"/>
                      <a:t> 1 151,8; 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4.5499407758800833E-2"/>
                  <c:y val="-0.123529719262966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Фізкультура і спорт; </a:t>
                    </a:r>
                    <a:r>
                      <a:rPr lang="ru-RU" b="1"/>
                      <a:t>296,8; 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7.9339477615710668E-2"/>
                  <c:y val="-5.59747321543823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Благоустрій; </a:t>
                    </a:r>
                  </a:p>
                  <a:p>
                    <a:r>
                      <a:rPr lang="ru-RU" b="1"/>
                      <a:t>1 314,7; 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6.9720476049568242E-2"/>
                  <c:y val="-4.25222666838776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Бідівництво; </a:t>
                    </a:r>
                  </a:p>
                  <a:p>
                    <a:r>
                      <a:rPr lang="ru-RU" b="1"/>
                      <a:t>2 411,3; 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7"/>
              <c:layout>
                <c:manualLayout>
                  <c:x val="3.473920480379921E-2"/>
                  <c:y val="2.41433780818381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Утримання та розвиток автомобільних доріг; </a:t>
                    </a:r>
                    <a:r>
                      <a:rPr lang="ru-RU" b="1"/>
                      <a:t>922,8; 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8"/>
              <c:layout>
                <c:manualLayout>
                  <c:x val="-5.3843101639170802E-3"/>
                  <c:y val="0.122712352862564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Заходи з енергозбереження; </a:t>
                    </a:r>
                    <a:r>
                      <a:rPr lang="ru-RU" b="1"/>
                      <a:t>615,0; 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9"/>
              <c:layout>
                <c:manualLayout>
                  <c:x val="-3.3080506594010586E-2"/>
                  <c:y val="0.10723094767477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Внески до статутного капіталу; </a:t>
                    </a:r>
                  </a:p>
                  <a:p>
                    <a:r>
                      <a:rPr lang="ru-RU" b="1"/>
                      <a:t>6 482,4; 12%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10"/>
              <c:layout>
                <c:manualLayout>
                  <c:x val="5.1382434978382921E-2"/>
                  <c:y val="3.94969292438912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Виконання інвестиційних проектів; </a:t>
                    </a:r>
                  </a:p>
                  <a:p>
                    <a:r>
                      <a:rPr lang="ru-RU" b="1"/>
                      <a:t>15 032,8; 28,5%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dLbl>
              <c:idx val="11"/>
              <c:layout>
                <c:manualLayout>
                  <c:x val="-1.6848638434302371E-2"/>
                  <c:y val="2.97508683834496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видатки; </a:t>
                    </a:r>
                  </a:p>
                  <a:p>
                    <a:r>
                      <a:rPr lang="ru-RU" b="1"/>
                      <a:t>3 574,0; 6,5%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</c:dLbl>
            <c:spPr>
              <a:ln w="0" cmpd="sng">
                <a:solidFill>
                  <a:schemeClr val="tx1"/>
                </a:solidFill>
                <a:prstDash val="solid"/>
              </a:ln>
              <a:effectLst>
                <a:outerShdw dist="50800" dir="5400000" sx="1000" sy="1000" algn="ctr" rotWithShape="0">
                  <a:srgbClr val="000000"/>
                </a:outerShdw>
              </a:effectLst>
            </c:spPr>
            <c:txPr>
              <a:bodyPr rot="0"/>
              <a:lstStyle/>
              <a:p>
                <a:pPr>
                  <a:defRPr sz="1100"/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Percent val="1"/>
            <c:showLeaderLines val="1"/>
          </c:dLbls>
          <c:cat>
            <c:strRef>
              <c:f>'Лист1 (2)'!$B$2:$M$2</c:f>
              <c:strCache>
                <c:ptCount val="12"/>
                <c:pt idx="0">
                  <c:v>Органи місцевого самоврядування</c:v>
                </c:pt>
                <c:pt idx="1">
                  <c:v> Овіта</c:v>
                </c:pt>
                <c:pt idx="2">
                  <c:v>Охорона здоров'я</c:v>
                </c:pt>
                <c:pt idx="3">
                  <c:v>Культура</c:v>
                </c:pt>
                <c:pt idx="4">
                  <c:v>Фізкультура і спорт</c:v>
                </c:pt>
                <c:pt idx="5">
                  <c:v>Благоустрій</c:v>
                </c:pt>
                <c:pt idx="6">
                  <c:v>Бідівництво</c:v>
                </c:pt>
                <c:pt idx="7">
                  <c:v>Утримання та розвиток автомобільних доріг</c:v>
                </c:pt>
                <c:pt idx="8">
                  <c:v>Заходи з енергозбереження</c:v>
                </c:pt>
                <c:pt idx="9">
                  <c:v>Внески до статутного капіталу</c:v>
                </c:pt>
                <c:pt idx="10">
                  <c:v>Виконання інвестиційних проектів</c:v>
                </c:pt>
                <c:pt idx="11">
                  <c:v>Інші видатки</c:v>
                </c:pt>
              </c:strCache>
            </c:strRef>
          </c:cat>
          <c:val>
            <c:numRef>
              <c:f>'Лист1 (2)'!$B$3:$M$3</c:f>
              <c:numCache>
                <c:formatCode>#,##0.0</c:formatCode>
                <c:ptCount val="12"/>
                <c:pt idx="0">
                  <c:v>426</c:v>
                </c:pt>
                <c:pt idx="1">
                  <c:v>11306.3</c:v>
                </c:pt>
                <c:pt idx="2">
                  <c:v>9275.2000000000007</c:v>
                </c:pt>
                <c:pt idx="3">
                  <c:v>1151.8</c:v>
                </c:pt>
                <c:pt idx="4">
                  <c:v>296.8</c:v>
                </c:pt>
                <c:pt idx="5">
                  <c:v>1314.7</c:v>
                </c:pt>
                <c:pt idx="6">
                  <c:v>2411.3000000000002</c:v>
                </c:pt>
                <c:pt idx="7">
                  <c:v>922.8</c:v>
                </c:pt>
                <c:pt idx="8">
                  <c:v>615</c:v>
                </c:pt>
                <c:pt idx="9">
                  <c:v>6482.4</c:v>
                </c:pt>
                <c:pt idx="10">
                  <c:v>15032.8</c:v>
                </c:pt>
                <c:pt idx="11">
                  <c:v>3574</c:v>
                </c:pt>
              </c:numCache>
            </c:numRef>
          </c:val>
        </c:ser>
        <c:firstSliceAng val="272"/>
      </c:pieChart>
    </c:plotArea>
    <c:plotVisOnly val="1"/>
  </c:chart>
  <c:spPr>
    <a:ln>
      <a:solidFill>
        <a:schemeClr val="accent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видатків у фінансуванні захищених статей в 2018 році (без врахування субвецій)</a:t>
            </a:r>
            <a:r>
              <a:rPr lang="ru-RU" sz="1400" baseline="0"/>
              <a:t>, тис. грн.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0.26628535912326234"/>
          <c:y val="0.20595083628090521"/>
          <c:w val="0.44965175358786286"/>
          <c:h val="0.71152568682864981"/>
        </c:manualLayout>
      </c:layout>
      <c:pieChart>
        <c:varyColors val="1"/>
        <c:ser>
          <c:idx val="0"/>
          <c:order val="0"/>
          <c:dPt>
            <c:idx val="1"/>
            <c:explosion val="15"/>
          </c:dPt>
          <c:dPt>
            <c:idx val="2"/>
            <c:explosion val="17"/>
          </c:dPt>
          <c:dPt>
            <c:idx val="3"/>
            <c:explosion val="7"/>
          </c:dPt>
          <c:dLbls>
            <c:dLbl>
              <c:idx val="0"/>
              <c:layout>
                <c:manualLayout>
                  <c:x val="8.3370461045310547E-3"/>
                  <c:y val="2.3916563771430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Заробітна плата з нарахуванням;</a:t>
                    </a:r>
                  </a:p>
                  <a:p>
                    <a:r>
                      <a:rPr lang="ru-RU" b="1"/>
                      <a:t> 277 207,7; 72,5%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-3.3509235026078242E-2"/>
                  <c:y val="5.9648187317443372E-3"/>
                </c:manualLayout>
              </c:layout>
              <c:tx>
                <c:rich>
                  <a:bodyPr/>
                  <a:lstStyle/>
                  <a:p>
                    <a:pPr>
                      <a:defRPr sz="1100" b="0"/>
                    </a:pPr>
                    <a:r>
                      <a:rPr lang="ru-RU" b="0"/>
                      <a:t>Медикаменти, продукти харчування;</a:t>
                    </a:r>
                  </a:p>
                  <a:p>
                    <a:pPr>
                      <a:defRPr sz="1100" b="0"/>
                    </a:pPr>
                    <a:r>
                      <a:rPr lang="ru-RU" b="1" i="0"/>
                      <a:t> 15 010,5; 3,9%</a:t>
                    </a:r>
                  </a:p>
                </c:rich>
              </c:tx>
              <c:spPr>
                <a:ln>
                  <a:solidFill>
                    <a:schemeClr val="tx2">
                      <a:lumMod val="75000"/>
                    </a:schemeClr>
                  </a:solidFill>
                </a:ln>
              </c:spPr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-4.5870578588518077E-2"/>
                  <c:y val="-7.21411516562687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Енергоносії; </a:t>
                    </a:r>
                  </a:p>
                  <a:p>
                    <a:r>
                      <a:rPr lang="ru-RU" b="1"/>
                      <a:t>34 486,9; 9%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-6.5128406738030789E-2"/>
                  <c:y val="-0.199885770486364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послуг з охорони комунальних закладів культури; </a:t>
                    </a:r>
                    <a:r>
                      <a:rPr lang="ru-RU" b="1"/>
                      <a:t>59,2; 0,1%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-5.7424942849885724E-2"/>
                  <c:y val="1.273182028717009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видатки; 59725,6; 8%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spPr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1"/>
            <c:showVal val="1"/>
            <c:showCatName val="1"/>
            <c:showPercent val="1"/>
            <c:showLeaderLines val="1"/>
          </c:dLbls>
          <c:cat>
            <c:strRef>
              <c:f>'Лист2 (2)'!$C$3:$G$3</c:f>
              <c:strCache>
                <c:ptCount val="4"/>
                <c:pt idx="0">
                  <c:v>Заробітна плата з нарахуванням</c:v>
                </c:pt>
                <c:pt idx="1">
                  <c:v>Медикаменти, продукти харчування</c:v>
                </c:pt>
                <c:pt idx="2">
                  <c:v>Енергоносії</c:v>
                </c:pt>
                <c:pt idx="3">
                  <c:v>Оплата послуг з охорони комунальних закладів культури</c:v>
                </c:pt>
              </c:strCache>
            </c:strRef>
          </c:cat>
          <c:val>
            <c:numRef>
              <c:f>'Лист2 (2)'!$C$4:$G$4</c:f>
              <c:numCache>
                <c:formatCode>0.0</c:formatCode>
                <c:ptCount val="5"/>
                <c:pt idx="0">
                  <c:v>277207.7</c:v>
                </c:pt>
                <c:pt idx="1">
                  <c:v>15010.5</c:v>
                </c:pt>
                <c:pt idx="2">
                  <c:v>34486.9</c:v>
                </c:pt>
                <c:pt idx="3">
                  <c:v>2000</c:v>
                </c:pt>
              </c:numCache>
            </c:numRef>
          </c:val>
        </c:ser>
        <c:dLbls>
          <c:showVal val="1"/>
        </c:dLbls>
        <c:firstSliceAng val="275"/>
      </c:pie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Видатки загального фонду </a:t>
            </a:r>
            <a:r>
              <a:rPr lang="ru-RU" sz="1400" baseline="0"/>
              <a:t> по виплатах за 2018 рік, тис. грн.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0.27513572093810829"/>
          <c:y val="0.22400963408985639"/>
          <c:w val="0.47123410380154096"/>
          <c:h val="0.68744739848695358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3208365083396829E-2"/>
                  <c:y val="7.92823838196695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Заробітна плата з нарахуванням; 277207,7; 41%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8.617610701888069E-2"/>
                  <c:y val="1.1984313725490197E-2"/>
                </c:manualLayout>
              </c:layout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7.8002370671408014E-2"/>
                  <c:y val="0.13553385826771652"/>
                </c:manualLayout>
              </c:layout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1366378799424266"/>
                  <c:y val="-0.12163137254901991"/>
                </c:manualLayout>
              </c:layout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-5.7424942849885724E-2"/>
                  <c:y val="1.27318202871700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видатки; 59725,6; 8%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spPr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1"/>
            <c:showVal val="1"/>
            <c:showCatName val="1"/>
            <c:showPercent val="1"/>
            <c:showLeaderLines val="1"/>
          </c:dLbls>
          <c:cat>
            <c:strRef>
              <c:f>Лист2!$C$3:$G$3</c:f>
              <c:strCache>
                <c:ptCount val="5"/>
                <c:pt idx="0">
                  <c:v>Заробітна плата з нарахуванням</c:v>
                </c:pt>
                <c:pt idx="1">
                  <c:v>Медикаменти, продукти харчування</c:v>
                </c:pt>
                <c:pt idx="2">
                  <c:v>Енергоносії</c:v>
                </c:pt>
                <c:pt idx="3">
                  <c:v>Пільги, субсидії, допомоги дітям</c:v>
                </c:pt>
                <c:pt idx="4">
                  <c:v>Інші видатки</c:v>
                </c:pt>
              </c:strCache>
            </c:strRef>
          </c:cat>
          <c:val>
            <c:numRef>
              <c:f>Лист2!$C$4:$G$4</c:f>
              <c:numCache>
                <c:formatCode>0.0</c:formatCode>
                <c:ptCount val="5"/>
                <c:pt idx="0">
                  <c:v>277207.7</c:v>
                </c:pt>
                <c:pt idx="1">
                  <c:v>15010.5</c:v>
                </c:pt>
                <c:pt idx="2">
                  <c:v>34486.9</c:v>
                </c:pt>
                <c:pt idx="3">
                  <c:v>298082</c:v>
                </c:pt>
                <c:pt idx="4">
                  <c:v>59725.599999999999</c:v>
                </c:pt>
              </c:numCache>
            </c:numRef>
          </c:val>
        </c:ser>
        <c:dLbls>
          <c:showVal val="1"/>
        </c:dLbls>
        <c:firstSliceAng val="253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Органи місцевого самоврядування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3762211258862433E-2"/>
                  <c:y val="-0.4464867120967678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dLblPos val="inEnd"/>
            <c:showVal val="1"/>
            <c:showCatName val="1"/>
            <c:showLeaderLines val="1"/>
          </c:dLbls>
          <c:cat>
            <c:strRef>
              <c:f>Лист10!$F$6:$G$6</c:f>
              <c:strCache>
                <c:ptCount val="2"/>
                <c:pt idx="0">
                  <c:v>Власні кошти</c:v>
                </c:pt>
                <c:pt idx="1">
                  <c:v>Залучені кошти з інших бюджетів</c:v>
                </c:pt>
              </c:strCache>
            </c:strRef>
          </c:cat>
          <c:val>
            <c:numRef>
              <c:f>Лист10!$F$7:$G$7</c:f>
              <c:numCache>
                <c:formatCode>General</c:formatCode>
                <c:ptCount val="2"/>
                <c:pt idx="0" formatCode="0.0%">
                  <c:v>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Освіта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1010273255720396"/>
                  <c:y val="-5.8308907558804024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Val val="1"/>
            <c:showCatName val="1"/>
            <c:showLeaderLines val="1"/>
          </c:dLbls>
          <c:cat>
            <c:strRef>
              <c:f>Лист11!$D$5:$E$5</c:f>
              <c:strCache>
                <c:ptCount val="2"/>
                <c:pt idx="0">
                  <c:v>Власні кошти</c:v>
                </c:pt>
                <c:pt idx="1">
                  <c:v>Залучені кошти з інших бюджетів</c:v>
                </c:pt>
              </c:strCache>
            </c:strRef>
          </c:cat>
          <c:val>
            <c:numRef>
              <c:f>Лист11!$D$6:$E$6</c:f>
              <c:numCache>
                <c:formatCode>0.0%</c:formatCode>
                <c:ptCount val="2"/>
                <c:pt idx="0">
                  <c:v>0.63700000000000145</c:v>
                </c:pt>
                <c:pt idx="1">
                  <c:v>0.36300000000000032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Охорона здоров'я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7420800927491426"/>
                  <c:y val="0.1638845144356955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17434729401156196"/>
                  <c:y val="-0.22873760480688043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Val val="1"/>
            <c:showCatName val="1"/>
            <c:showLeaderLines val="1"/>
          </c:dLbls>
          <c:cat>
            <c:strRef>
              <c:f>Лист12!$E$5:$F$5</c:f>
              <c:strCache>
                <c:ptCount val="2"/>
                <c:pt idx="0">
                  <c:v>Власні кошти</c:v>
                </c:pt>
                <c:pt idx="1">
                  <c:v>Залучені кошти з інших бюджетів</c:v>
                </c:pt>
              </c:strCache>
            </c:strRef>
          </c:cat>
          <c:val>
            <c:numRef>
              <c:f>Лист12!$E$6:$F$6</c:f>
              <c:numCache>
                <c:formatCode>0.0%</c:formatCode>
                <c:ptCount val="2"/>
                <c:pt idx="0">
                  <c:v>0.27600000000000002</c:v>
                </c:pt>
                <c:pt idx="1">
                  <c:v>0.72400000000000064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Соціальний захист та соц. забезпечення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6.2963212072717739E-2"/>
                  <c:y val="-0.13985030579311558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Val val="1"/>
            <c:showCatName val="1"/>
            <c:showLeaderLines val="1"/>
          </c:dLbls>
          <c:cat>
            <c:strRef>
              <c:f>Лист13!$F$5:$G$5</c:f>
              <c:strCache>
                <c:ptCount val="2"/>
                <c:pt idx="0">
                  <c:v>Власні кошти</c:v>
                </c:pt>
                <c:pt idx="1">
                  <c:v>Залучені кошти з інших бюджетів</c:v>
                </c:pt>
              </c:strCache>
            </c:strRef>
          </c:cat>
          <c:val>
            <c:numRef>
              <c:f>Лист13!$F$6:$G$6</c:f>
              <c:numCache>
                <c:formatCode>0.0%</c:formatCode>
                <c:ptCount val="2"/>
                <c:pt idx="0">
                  <c:v>4.3000000000000003E-2</c:v>
                </c:pt>
                <c:pt idx="1">
                  <c:v>0.95700000000000063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/>
              <a:t>Культура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8105520315115337E-2"/>
                  <c:y val="-0.20580104467139673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</c:dLbl>
            <c:dLbl>
              <c:idx val="1"/>
              <c:layout>
                <c:manualLayout>
                  <c:x val="-0.21040582298346741"/>
                  <c:y val="7.9229337818841034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Залучені кошти з інших бюджетів; 0,1%</a:t>
                    </a:r>
                  </a:p>
                </c:rich>
              </c:tx>
              <c:spPr/>
              <c:dLblPos val="bestFit"/>
              <c:showLegendKey val="1"/>
              <c:showVal val="1"/>
              <c:showCatName val="1"/>
            </c:dLbl>
            <c:delete val="1"/>
            <c:showLegendKey val="1"/>
          </c:dLbls>
          <c:cat>
            <c:strRef>
              <c:f>Лист14!$G$5:$H$5</c:f>
              <c:strCache>
                <c:ptCount val="2"/>
                <c:pt idx="0">
                  <c:v>Власні кошти</c:v>
                </c:pt>
                <c:pt idx="1">
                  <c:v>Залучені кошти з інших бюджетів</c:v>
                </c:pt>
              </c:strCache>
            </c:strRef>
          </c:cat>
          <c:val>
            <c:numRef>
              <c:f>Лист14!$G$6:$H$6</c:f>
              <c:numCache>
                <c:formatCode>0.0%</c:formatCode>
                <c:ptCount val="2"/>
                <c:pt idx="0">
                  <c:v>0.999</c:v>
                </c:pt>
                <c:pt idx="1">
                  <c:v>1.0000000000000005E-2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/>
              <a:t>Фізична культура та спорт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9724197781728861E-2"/>
                  <c:y val="-0.2212360688956434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22421937177207754"/>
                  <c:y val="0.1079865016872896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З</a:t>
                    </a:r>
                    <a:r>
                      <a:rPr lang="ru-RU"/>
                      <a:t>алучені кошти з інших бюджетів; 0,6%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Лист15!$E$3:$F$3</c:f>
              <c:strCache>
                <c:ptCount val="2"/>
                <c:pt idx="0">
                  <c:v>Власні кошти</c:v>
                </c:pt>
                <c:pt idx="1">
                  <c:v>Залучені кошти з інших бюджетів</c:v>
                </c:pt>
              </c:strCache>
            </c:strRef>
          </c:cat>
          <c:val>
            <c:numRef>
              <c:f>Лист15!$E$4:$F$4</c:f>
              <c:numCache>
                <c:formatCode>0.0%</c:formatCode>
                <c:ptCount val="2"/>
                <c:pt idx="0">
                  <c:v>0.99399999999999999</c:v>
                </c:pt>
                <c:pt idx="1">
                  <c:v>1.4999999999999998E-2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title>
      <c:tx>
        <c:rich>
          <a:bodyPr/>
          <a:lstStyle/>
          <a:p>
            <a:pPr>
              <a:defRPr/>
            </a:pPr>
            <a:r>
              <a:rPr lang="ru-RU"/>
              <a:t>Організація благоустрою</a:t>
            </a:r>
          </a:p>
        </c:rich>
      </c:tx>
      <c:layout>
        <c:manualLayout>
          <c:xMode val="edge"/>
          <c:yMode val="edge"/>
          <c:x val="0.24517366579177602"/>
          <c:y val="2.777777777777795E-2"/>
        </c:manualLayout>
      </c:layout>
    </c:title>
    <c:plotArea>
      <c:layout/>
      <c:pieChart>
        <c:varyColors val="1"/>
        <c:ser>
          <c:idx val="0"/>
          <c:order val="0"/>
          <c:spPr>
            <a:solidFill>
              <a:srgbClr val="99CCFF"/>
            </a:solidFill>
          </c:spPr>
          <c:dPt>
            <c:idx val="0"/>
            <c:spPr>
              <a:solidFill>
                <a:srgbClr val="6699FF"/>
              </a:solidFill>
              <a:effectLst>
                <a:outerShdw blurRad="40000" dist="23000" dir="5400000" rotWithShape="0">
                  <a:schemeClr val="tx1">
                    <a:alpha val="35000"/>
                  </a:schemeClr>
                </a:outerShdw>
              </a:effectLst>
            </c:spPr>
          </c:dPt>
          <c:dPt>
            <c:idx val="1"/>
            <c:spPr>
              <a:solidFill>
                <a:srgbClr val="99CCFF">
                  <a:alpha val="96000"/>
                </a:srgbClr>
              </a:solidFill>
            </c:spPr>
          </c:dPt>
          <c:dLbls>
            <c:dLbl>
              <c:idx val="0"/>
              <c:layout>
                <c:manualLayout>
                  <c:x val="-1.571894138232716E-2"/>
                  <c:y val="-0.2041203703703704"/>
                </c:manualLayout>
              </c:layout>
              <c:showLegendKey val="1"/>
              <c:showVal val="1"/>
              <c:showCatName val="1"/>
            </c:dLbl>
            <c:dLbl>
              <c:idx val="1"/>
              <c:layout>
                <c:manualLayout>
                  <c:x val="-0.25809315787581349"/>
                  <c:y val="9.688623599469424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З</a:t>
                    </a:r>
                    <a:r>
                      <a:rPr lang="ru-RU"/>
                      <a:t>алучені кошти з інших бюджетів; 0,1%</a:t>
                    </a:r>
                  </a:p>
                </c:rich>
              </c:tx>
              <c:showLegendKey val="1"/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1"/>
            <c:showCatName val="1"/>
            <c:showLeaderLines val="1"/>
          </c:dLbls>
          <c:cat>
            <c:strRef>
              <c:f>Лист16!$F$4:$G$4</c:f>
              <c:strCache>
                <c:ptCount val="2"/>
                <c:pt idx="0">
                  <c:v>Власні кошти</c:v>
                </c:pt>
                <c:pt idx="1">
                  <c:v>Залучені кошти з інших бюджетів</c:v>
                </c:pt>
              </c:strCache>
            </c:strRef>
          </c:cat>
          <c:val>
            <c:numRef>
              <c:f>Лист16!$F$5:$G$5</c:f>
              <c:numCache>
                <c:formatCode>0.0%</c:formatCode>
                <c:ptCount val="2"/>
                <c:pt idx="0">
                  <c:v>0.999</c:v>
                </c:pt>
                <c:pt idx="1">
                  <c:v>1.0000000000000005E-2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/>
            </a:pPr>
            <a:r>
              <a:rPr lang="ru-RU"/>
              <a:t>Інші видатки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dPt>
            <c:idx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spPr>
              <a:solidFill>
                <a:schemeClr val="bg2">
                  <a:lumMod val="25000"/>
                </a:schemeClr>
              </a:solidFill>
            </c:spPr>
          </c:dPt>
          <c:dLbls>
            <c:dLbl>
              <c:idx val="0"/>
              <c:layout>
                <c:manualLayout>
                  <c:x val="-4.9159995625546904E-2"/>
                  <c:y val="-0.23189814814814821"/>
                </c:manualLayout>
              </c:layout>
              <c:showLegendKey val="1"/>
              <c:showVal val="1"/>
              <c:showCatName val="1"/>
            </c:dLbl>
            <c:dLbl>
              <c:idx val="1"/>
              <c:layout>
                <c:manualLayout>
                  <c:x val="-0.27605839895013135"/>
                  <c:y val="6.9365704286964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Залучені кошти з інших бюджетів; 1,1%</a:t>
                    </a:r>
                  </a:p>
                </c:rich>
              </c:tx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Лист17!$F$4:$G$4</c:f>
              <c:strCache>
                <c:ptCount val="2"/>
                <c:pt idx="0">
                  <c:v>Власні кошти</c:v>
                </c:pt>
                <c:pt idx="1">
                  <c:v>Залучені кошти з інших бюджетів</c:v>
                </c:pt>
              </c:strCache>
            </c:strRef>
          </c:cat>
          <c:val>
            <c:numRef>
              <c:f>Лист17!$F$5:$G$5</c:f>
              <c:numCache>
                <c:formatCode>0.0%</c:formatCode>
                <c:ptCount val="2"/>
                <c:pt idx="0">
                  <c:v>0.98899999999999999</c:v>
                </c:pt>
                <c:pt idx="1">
                  <c:v>2.0000000000000011E-2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2019-05-29T13:19:00Z</dcterms:created>
  <dcterms:modified xsi:type="dcterms:W3CDTF">2019-05-29T13:19:00Z</dcterms:modified>
</cp:coreProperties>
</file>